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2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9"/>
        <w:jc w:val="center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-226695</wp:posOffset>
            </wp:positionH>
            <wp:positionV relativeFrom="paragraph">
              <wp:posOffset>-167005</wp:posOffset>
            </wp:positionV>
            <wp:extent cx="6934835" cy="929322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929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40"/>
        <w:ind w:hanging="0" w:left="0" w:right="0"/>
        <w:jc w:val="both"/>
      </w:pPr>
      <w:r>
        <w:rPr/>
        <w:t>- обеспечение безопасных условий труда;</w:t>
      </w:r>
    </w:p>
    <w:p>
      <w:pPr>
        <w:pStyle w:val="style40"/>
        <w:ind w:hanging="0" w:left="0" w:right="0"/>
        <w:jc w:val="both"/>
      </w:pPr>
      <w:r>
        <w:rPr/>
        <w:t>- исполнение обязательств, предусмотренных договорами гражданско-правового характера;</w:t>
      </w:r>
    </w:p>
    <w:p>
      <w:pPr>
        <w:pStyle w:val="style40"/>
        <w:ind w:hanging="0" w:left="0" w:right="0"/>
        <w:jc w:val="both"/>
      </w:pPr>
      <w:r>
        <w:rPr/>
        <w:t>- исполнение обязанностей заказчика для государственных нужд.</w:t>
      </w:r>
    </w:p>
    <w:p>
      <w:pPr>
        <w:pStyle w:val="style40"/>
        <w:ind w:hanging="0" w:left="0" w:right="0"/>
        <w:jc w:val="both"/>
      </w:pPr>
      <w:r>
        <w:rPr/>
        <w:t>1.5. Обработка и защита персональных данных в учреждении осуществляется с соблюдением принципов и условий, предусмотренных действующим законодательством Российской Федерации, с момента получения оператором согласия на обработку персональных данных от субъекта персональных данных или его представителя.</w:t>
      </w:r>
    </w:p>
    <w:p>
      <w:pPr>
        <w:pStyle w:val="style40"/>
        <w:ind w:hanging="0" w:left="709" w:right="0"/>
        <w:jc w:val="both"/>
      </w:pPr>
      <w:r>
        <w:rPr>
          <w:szCs w:val="28"/>
        </w:rPr>
      </w:r>
    </w:p>
    <w:p>
      <w:pPr>
        <w:pStyle w:val="style29"/>
        <w:numPr>
          <w:ilvl w:val="0"/>
          <w:numId w:val="1"/>
        </w:numPr>
        <w:jc w:val="center"/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Конфиденциальность персональных данных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/>
        <w:t>Оператору и лицам, получившим доступ к персональным данным, запрещается раскрывать их третьим лицам и не распространять без согласия субъекта персональных данных, если иное не предусмотрено действующим законодательством Российской Федерации.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/>
        <w:t xml:space="preserve"> </w:t>
      </w:r>
      <w:r>
        <w:rPr/>
        <w:t>В целях обеспечения конфиденциальности персональных данных все операции по оформлению, формированию, ведению и хранению данной информации должны выполняться только работниками, ответственными за обработку персональных данных.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/>
        <w:t>Ответы на письменные запросы других организаций и учреждений в пределах их компетенции и предоставленных полномочий даются в письменной форме на бланке учреждения и в том объеме, который позволяет не разглашать персональные данные.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/>
        <w:t>Передача информации, содержащей сведения о персональных данных субъектов персональных данных, по телефону, факсу, электронной почте без согласия работника запрещается.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/>
        <w:t>Документы, содержащие персональные данные, хранятся в запирающихся шкафах, сейфах, обеспечивающих защиту от несанкционированного доступа.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/>
        <w:t>Персональные компьютеры, в которых содержатся персональные данные, должны быть защищены паролями доступа, программами криптографической защиты информации.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/>
        <w:t>Режим конфиденциальности персональных данных снимается в случаях их обезличивания и по истечении 75 лет срока их хранения, или продлевается на основании заключения экспертной комиссии учреждения, если иное не определено действующим законодательством Российской Федерации.</w:t>
      </w:r>
    </w:p>
    <w:p>
      <w:pPr>
        <w:pStyle w:val="style29"/>
        <w:jc w:val="both"/>
      </w:pPr>
      <w:r>
        <w:rPr>
          <w:sz w:val="28"/>
          <w:szCs w:val="28"/>
        </w:rPr>
      </w:r>
    </w:p>
    <w:p>
      <w:pPr>
        <w:pStyle w:val="style29"/>
        <w:numPr>
          <w:ilvl w:val="0"/>
          <w:numId w:val="1"/>
        </w:numPr>
        <w:jc w:val="center"/>
      </w:pPr>
      <w:r>
        <w:rPr>
          <w:b/>
          <w:bCs/>
          <w:sz w:val="28"/>
          <w:szCs w:val="28"/>
        </w:rPr>
        <w:t>Категории субъектов персональных данных и перечень обрабатываемых персональных данных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>Категории субъектов персональных данных: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работники оператора, бывшие работники;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кандидаты на замещение вакантных должностей;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родственники работников;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контрагенты оператора (физические лица);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представители/работники контрагентов оператора (юридические лица).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Перечень обрабатываемых персональных данных работников, бывших работников оператора:</w:t>
      </w:r>
      <w:r>
        <w:rPr>
          <w:b/>
          <w:bCs/>
          <w:szCs w:val="28"/>
          <w:lang w:eastAsia="ru-RU"/>
        </w:rPr>
        <w:t xml:space="preserve"> </w:t>
      </w:r>
      <w:bookmarkStart w:id="0" w:name="_Hlk112848745"/>
      <w:r>
        <w:rPr>
          <w:szCs w:val="28"/>
          <w:lang w:eastAsia="ru-RU"/>
        </w:rPr>
        <w:t>фамилия, имя, отчество;</w:t>
      </w:r>
      <w:r>
        <w:rPr>
          <w:b/>
          <w:bCs/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год, месяц, дата, место рождения; адрес места жительства (пребывания); семейное положение; социальное положение; имущественное положение; образование; профессия; доходы; состояние здоровья; реквизиты документа, удостоверяющего личность; идентификационный номер налогоплательщика, дата постановки его на учет, реквизиты свидетельства постановки на учет в налоговом органе; номер свидетельства обязательного пенсионного страхования, дата регистрации в системе обязательного пенсионного страхования; номер полиса обязательного медицинского страхования; номера телефонов; фотографии; сведения о занимаемых ранее должностях и стаже работы; сведения о воинской обязанности и воинском учете; информация о гражданстве; реквизиты свидетельства о государственной регистрации актов гражданского состояния; сведения о владении иностранными языками, степень владения; сведения о составе семьи; сведения о близких родственниках; сведения об ученой степени; сведения о государственных наградах, знаках отличия, поощрения; номер расчетного счета; номер банковской карты; сведения об инвалидности, сроке действия установленной инвалидности. </w:t>
      </w:r>
    </w:p>
    <w:p>
      <w:pPr>
        <w:pStyle w:val="style40"/>
        <w:tabs>
          <w:tab w:leader="none" w:pos="0" w:val="left"/>
        </w:tabs>
        <w:jc w:val="both"/>
      </w:pPr>
      <w:bookmarkEnd w:id="0"/>
      <w:r>
        <w:rPr>
          <w:szCs w:val="28"/>
          <w:lang w:eastAsia="ru-RU"/>
        </w:rPr>
        <w:tab/>
        <w:t>Все персональные данные работника следует получать у него самого. Если персональные данные работника возможно получить только у третьей стороны,    то работник должен быть уведомлен об этом заранее и от него должно быть получено письменное согласие. Оператор должен сообщить работнику о целях, предполагаемых источниках и способах получения персональных данных, а также   о характере подлежащих получению персональных данных и последствиях отказа работника дать письменное согласие на их получение.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>Перечень обрабатываемых персональных данных родственников работников: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фамилия, имя, отчество;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год, месяц, дата рождения.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>Перечень обрабатываемых персональных данных кандидатов        на замещение вакантных должностей: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фамилия, имя, отчество;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год, месяц, дата рождения;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электронный адрес;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номера телефонов;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сведения об образовании, профессии, специальности и квалификации, реквизиты документов об образовании;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сведения о занимаемых ранее должностях и стаже работы.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>Перечень обрабатываемых персональных данных контрагентов оператора (физические лица):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фамилия, имя, отчество;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год, месяц, дата рождения;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реквизиты документа, удостоверяющего личность;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номер свидетельства обязательного пенсионного страхования;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адрес фактического места проживания и регистрации по месту жительства       и (или) по месту пребывания;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почтовый и электронный адреса;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номера телефонов;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сведения об образовании, профессии, специальности и квалификации, реквизиты документов об образовании.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>Перечень обрабатываемых персональных данных представителей/работников контрагентов оператора (юридические лица):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фамилия, имя, отчество;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электронный адрес;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номера телефонов.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</w:r>
    </w:p>
    <w:p>
      <w:pPr>
        <w:pStyle w:val="style29"/>
        <w:numPr>
          <w:ilvl w:val="0"/>
          <w:numId w:val="1"/>
        </w:numPr>
        <w:jc w:val="center"/>
      </w:pPr>
      <w:bookmarkStart w:id="1" w:name="Par32"/>
      <w:bookmarkEnd w:id="1"/>
      <w:r>
        <w:rPr>
          <w:b/>
          <w:bCs/>
          <w:sz w:val="28"/>
          <w:szCs w:val="28"/>
        </w:rPr>
        <w:t>Способ, перечень действий, сроки обработки и хранения персональных данных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>Оператором используется смешанный (автоматизированный, неавтоматизированный) способ обработки персональных данных.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>Перечень действий, совершаемых оператором с персональными данными субъектов персональных данных: сбор, запись, систематизация, накопление, хранение, уточнение (обновление, изменение), извлечение, использование, передача (предоставление, доступ), обезличивание, блокирование, удаление, уничтожение персональных данных.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 xml:space="preserve">Срок обработки персональных данных: 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до достижения целей обработки персональных данных или в случае утраты необходимости в достижении этих целей;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по истечению срока действия согласия на обработку персональных данных субъекта персональных данных;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до отзыва согласия субъекта персональных данных на обработку его персональных данных;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 xml:space="preserve">- до выявления неправомерной обработки персональных данных. 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>Персональные данные, полученные на бумажном и (или) электронном носителях хранятся непосредственно в структурных подразделениях оператора,     к полномочиям которых относится обработка персональных данных, а также       в государственном казенном учреждении Республики Карелия «Центр бухгалтерского и правового сопровождения организаций культуры» (Республика Карелия, г. Петрозаводск, наб. Варкауса,3) (далее – ЦБ при МК РК).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>Документы, содержащие персональные данные на бумажном          и (или) электронном носителе, по достижению целей обработки персональных данных передаются на хранение в архив оператора.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lang w:eastAsia="ru-RU"/>
        </w:rPr>
        <w:t xml:space="preserve">Сроки хранения архивных документов, содержащих персональные данные субъектов персональных данных, устанавливаются в соответствии         с Федеральным законом от 22.10.2004 № 125-ФЗ «Об архивном деле в Российской Федерации», Правилами организации хранения, комплектования, учета           и использования документов Архивного фонда Российской Федерации и других архивных документов в государственных и муниципальных архивах, музеях        и библиотеках, научных организациях, утвержденными </w:t>
      </w:r>
      <w:hyperlink r:id="rId3">
        <w:r>
          <w:rPr>
            <w:rStyle w:val="style23"/>
            <w:lang w:eastAsia="ru-RU"/>
          </w:rPr>
          <w:t xml:space="preserve">приказом Росархива </w:t>
          <w:br/>
          <w:t>от 02.03.2020 № 24</w:t>
        </w:r>
      </w:hyperlink>
      <w:r>
        <w:rPr>
          <w:lang w:eastAsia="ru-RU"/>
        </w:rPr>
        <w:t>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lang w:eastAsia="ru-RU"/>
        </w:rPr>
        <w:t>Хранение персональных данных осуществляется в форме, позволяющей определить субъекта персональных данных,</w:t>
      </w:r>
      <w:r>
        <w:rPr>
          <w:rFonts w:cs="Times New Roman" w:eastAsia="Times New Roman"/>
          <w:color w:val="212529"/>
          <w:sz w:val="24"/>
          <w:szCs w:val="24"/>
          <w:lang w:eastAsia="ru-RU"/>
        </w:rPr>
        <w:t xml:space="preserve"> </w:t>
      </w:r>
      <w:r>
        <w:rPr>
          <w:lang w:eastAsia="ru-RU"/>
        </w:rPr>
        <w:t>не дольше, чем этого требуют цели обработки персональных данных, если срок хранения персональных данных       не установлен действующим законодательством Российской Федерации, договором, стороной которого, выгодоприобретателем или поручителем по которому является субъект персональных данных.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>Обрабатываемые</w:t>
      </w:r>
      <w:r>
        <w:rPr>
          <w:lang w:eastAsia="ru-RU"/>
        </w:rPr>
        <w:t xml:space="preserve"> персональные данные подлежат уничтожению     либо обезличиванию по достижении целей обработки или в случае утраты необходимости в достижении этих целей, если иное не предусмотрено действующим законодательством Российской Федерации.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lang w:eastAsia="ru-RU"/>
        </w:rPr>
        <w:t>Обеспечивается раздельное хранение персональных данных на разных материальных носителях персональных данных, обработка которых осуществляется в целях, определенных оператором.</w:t>
      </w:r>
    </w:p>
    <w:p>
      <w:pPr>
        <w:pStyle w:val="style40"/>
        <w:ind w:hanging="0" w:left="709" w:right="0"/>
        <w:jc w:val="both"/>
      </w:pPr>
      <w:r>
        <w:rPr>
          <w:szCs w:val="28"/>
          <w:lang w:eastAsia="ru-RU"/>
        </w:rPr>
      </w:r>
    </w:p>
    <w:p>
      <w:pPr>
        <w:pStyle w:val="style29"/>
        <w:numPr>
          <w:ilvl w:val="0"/>
          <w:numId w:val="1"/>
        </w:numPr>
        <w:jc w:val="center"/>
      </w:pPr>
      <w:r>
        <w:rPr>
          <w:b/>
          <w:bCs/>
          <w:sz w:val="28"/>
          <w:szCs w:val="28"/>
        </w:rPr>
        <w:t>Передача персональных данных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</w:rPr>
        <w:t xml:space="preserve"> </w:t>
      </w:r>
      <w:r>
        <w:rPr/>
        <w:t xml:space="preserve">Для достижения целей обработки персональных данных персональные данные работников оператора, контрагентов (физических лиц) передаются в </w:t>
      </w:r>
      <w:r>
        <w:rPr>
          <w:szCs w:val="28"/>
          <w:lang w:eastAsia="ru-RU"/>
        </w:rPr>
        <w:t>ЦБ    при МК РК</w:t>
      </w:r>
      <w:r>
        <w:rPr/>
        <w:t xml:space="preserve"> </w:t>
      </w:r>
      <w:r>
        <w:rPr>
          <w:szCs w:val="28"/>
          <w:lang w:eastAsia="ru-RU"/>
        </w:rPr>
        <w:t>на основании заключенного договора о бухгалтерском сопровождении деятельности учреждения.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>ЦБ при МК РК при обработке переданных оператором персональных данных обязано соблюдать принципы и правила обработки персональных данных, соблюдать конфиденциальность персональных данных, принимать меры, направленные на обеспечение выполнения обязанностей, предусмотренные действующим законодательством Российской Федерации.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  <w:lang w:eastAsia="ru-RU"/>
        </w:rPr>
        <w:t>ЦБ при МК РК несет ответственность перед оператором за организацию обработки персональных данных в соответствии с действующим законодательством Российской Федерации.</w:t>
      </w:r>
    </w:p>
    <w:p>
      <w:pPr>
        <w:pStyle w:val="style29"/>
        <w:ind w:hanging="0" w:left="720" w:right="0"/>
        <w:jc w:val="center"/>
      </w:pPr>
      <w:r>
        <w:rPr>
          <w:szCs w:val="28"/>
        </w:rPr>
      </w:r>
    </w:p>
    <w:p>
      <w:pPr>
        <w:pStyle w:val="style29"/>
        <w:numPr>
          <w:ilvl w:val="0"/>
          <w:numId w:val="1"/>
        </w:numPr>
        <w:jc w:val="center"/>
      </w:pPr>
      <w:r>
        <w:rPr>
          <w:b/>
          <w:bCs/>
          <w:sz w:val="28"/>
          <w:szCs w:val="28"/>
        </w:rPr>
        <w:t>Доступ к персональным данным при их обработке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</w:rPr>
        <w:t>Ответственность за организацию обработки персональных данных возлагается приказом директора учреждения.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</w:rPr>
        <w:t>Доступ к документам, содержащим персональные данные, в рамках своих должностных обязанностей имеют: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директор, заместитель директора, архивариус (все категории субъектов персональных данных);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начальник общего отдела (категории: работники, бывшие работники, кандидаты   на замещение вакантных должностей);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-специалист по закупкам (категории: контрагенты (физические лица), представители контрагентов (юридические лица);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руководители структурных подразделений (начальники отделов) (категория: работники структурного подразделения (отдела);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  <w:t>- сотрудники ЦБ при МК РК, ответственные за обработку переданных оператором персональных данных.</w:t>
      </w:r>
    </w:p>
    <w:p>
      <w:pPr>
        <w:pStyle w:val="style40"/>
        <w:tabs>
          <w:tab w:leader="none" w:pos="0" w:val="left"/>
        </w:tabs>
        <w:jc w:val="both"/>
      </w:pPr>
      <w:r>
        <w:rPr>
          <w:szCs w:val="28"/>
          <w:lang w:eastAsia="ru-RU"/>
        </w:rPr>
      </w:r>
    </w:p>
    <w:p>
      <w:pPr>
        <w:pStyle w:val="style29"/>
        <w:numPr>
          <w:ilvl w:val="0"/>
          <w:numId w:val="1"/>
        </w:numPr>
        <w:jc w:val="center"/>
      </w:pPr>
      <w:r>
        <w:rPr>
          <w:b/>
          <w:bCs/>
          <w:sz w:val="28"/>
          <w:szCs w:val="28"/>
        </w:rPr>
        <w:t>Порядок уничтожения персональных данных при достижении целей обработки или при наступлении иных законных оснований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</w:rPr>
        <w:t>Документы, содержащие персональные данные, сроки хранения которых истекли, подлежат уничтожению.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szCs w:val="28"/>
        </w:rPr>
        <w:t xml:space="preserve">Документы, содержащие персональные данные, на бумажном носителе уничтожаются оператором в соответствии с </w:t>
      </w:r>
      <w:r>
        <w:rPr>
          <w:lang w:eastAsia="ru-RU"/>
        </w:rPr>
        <w:t xml:space="preserve">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научных организациях, утвержденными </w:t>
      </w:r>
      <w:hyperlink r:id="rId4">
        <w:r>
          <w:rPr>
            <w:rStyle w:val="style23"/>
            <w:lang w:eastAsia="ru-RU"/>
          </w:rPr>
          <w:t>приказом Росархива от 02.03.2020 № 24</w:t>
        </w:r>
      </w:hyperlink>
      <w:r>
        <w:rPr>
          <w:lang w:eastAsia="ru-RU"/>
        </w:rPr>
        <w:t>.</w:t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>
          <w:lang w:eastAsia="ru-RU"/>
        </w:rPr>
        <w:t>Уничтожение по окончании срока обработки персональных данных   на электронных носителях производится путем механического нарушения целостности носителя, не позволяющего произвести считывание               или восстановление персональных данных, или удалением с электронных носителей методами и средствами гарантированного удаления остаточной информации.</w:t>
      </w:r>
      <w:r>
        <w:rPr>
          <w:szCs w:val="28"/>
        </w:rPr>
        <w:t xml:space="preserve"> </w:t>
      </w:r>
    </w:p>
    <w:p>
      <w:pPr>
        <w:pStyle w:val="style40"/>
        <w:ind w:hanging="0" w:left="709" w:right="0"/>
        <w:jc w:val="both"/>
      </w:pPr>
      <w:r>
        <w:rPr/>
      </w:r>
    </w:p>
    <w:p>
      <w:pPr>
        <w:pStyle w:val="style29"/>
        <w:numPr>
          <w:ilvl w:val="0"/>
          <w:numId w:val="1"/>
        </w:numPr>
        <w:jc w:val="center"/>
      </w:pPr>
      <w:r>
        <w:rPr>
          <w:b/>
          <w:bCs/>
          <w:sz w:val="28"/>
          <w:szCs w:val="28"/>
        </w:rPr>
        <w:t>Процедуры, направленные на выявление и предотвращение нарушений законодательства Российской Федерации в сфере персональных данных</w:t>
      </w:r>
    </w:p>
    <w:p>
      <w:pPr>
        <w:pStyle w:val="style29"/>
        <w:ind w:hanging="0" w:left="720" w:right="0"/>
        <w:jc w:val="center"/>
      </w:pPr>
      <w:r>
        <w:rPr>
          <w:sz w:val="28"/>
          <w:szCs w:val="28"/>
        </w:rPr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/>
        <w:t>Для выявления и предотвращения нарушений, предусмотренных законодательством Российской Федерации в сфере персональных данных, оператором используются следующие процедуры:</w:t>
      </w:r>
    </w:p>
    <w:p>
      <w:pPr>
        <w:pStyle w:val="style40"/>
        <w:tabs>
          <w:tab w:leader="none" w:pos="0" w:val="left"/>
        </w:tabs>
        <w:jc w:val="both"/>
      </w:pPr>
      <w:r>
        <w:rPr/>
        <w:t>- осуществление внутреннего контроля соответствия обработки персональных данных требованиям к защите персональных данных;</w:t>
      </w:r>
    </w:p>
    <w:p>
      <w:pPr>
        <w:pStyle w:val="style40"/>
        <w:tabs>
          <w:tab w:leader="none" w:pos="0" w:val="left"/>
        </w:tabs>
        <w:jc w:val="both"/>
      </w:pPr>
      <w:r>
        <w:rPr/>
        <w:t>- оценка вреда, который может быть причинен категориям субъектов, персональные данные которых обрабатываются;</w:t>
      </w:r>
    </w:p>
    <w:p>
      <w:pPr>
        <w:pStyle w:val="style40"/>
        <w:tabs>
          <w:tab w:leader="none" w:pos="0" w:val="left"/>
        </w:tabs>
        <w:jc w:val="both"/>
      </w:pPr>
      <w:r>
        <w:rPr/>
        <w:t>- ознакомление и (или) обучение работников оператора, непосредственно осуществляющих обработку персональных данных, с действующим законодательством Российской Федерации, иными нормативно-правовыми актами Российской Федерации, ведомственными документами, локальными актами оператора в сфере обработки и защиты персональных данных;</w:t>
      </w:r>
    </w:p>
    <w:p>
      <w:pPr>
        <w:pStyle w:val="style40"/>
        <w:tabs>
          <w:tab w:leader="none" w:pos="0" w:val="left"/>
        </w:tabs>
        <w:jc w:val="both"/>
      </w:pPr>
      <w:r>
        <w:rPr/>
        <w:t>- ограничение обработки персональных данных достижением конкретных         и законных целей;</w:t>
      </w:r>
    </w:p>
    <w:p>
      <w:pPr>
        <w:pStyle w:val="style40"/>
        <w:tabs>
          <w:tab w:leader="none" w:pos="0" w:val="left"/>
        </w:tabs>
        <w:jc w:val="both"/>
      </w:pPr>
      <w:r>
        <w:rPr/>
        <w:t>- недопущение обработки персональных данных, несовместимых с целями сбора персональных данных;</w:t>
      </w:r>
    </w:p>
    <w:p>
      <w:pPr>
        <w:pStyle w:val="style40"/>
        <w:tabs>
          <w:tab w:leader="none" w:pos="0" w:val="left"/>
        </w:tabs>
        <w:jc w:val="both"/>
      </w:pPr>
      <w:r>
        <w:rPr/>
        <w:t>- недопущение объединения баз данных, содержащих персональные данные, обработка которых осуществляется в целях, несовместимых между собой;</w:t>
      </w:r>
    </w:p>
    <w:p>
      <w:pPr>
        <w:pStyle w:val="style40"/>
        <w:tabs>
          <w:tab w:leader="none" w:pos="0" w:val="left"/>
        </w:tabs>
        <w:jc w:val="both"/>
      </w:pPr>
      <w:r>
        <w:rPr/>
        <w:t>- соответствие содержания и объема обрабатываемых персональных данных заявленным целям обработки;</w:t>
      </w:r>
    </w:p>
    <w:p>
      <w:pPr>
        <w:pStyle w:val="style40"/>
        <w:tabs>
          <w:tab w:leader="none" w:pos="0" w:val="left"/>
        </w:tabs>
        <w:jc w:val="both"/>
      </w:pPr>
      <w:r>
        <w:rPr/>
        <w:t>- обеспечение при обработке персональных данных точности персональных данных, их достаточности, а в необходимых случаях и актуальности по отношению к целям обработки персональных данных.</w:t>
      </w:r>
    </w:p>
    <w:p>
      <w:pPr>
        <w:pStyle w:val="style29"/>
        <w:jc w:val="both"/>
      </w:pPr>
      <w:r>
        <w:rPr/>
      </w:r>
    </w:p>
    <w:p>
      <w:pPr>
        <w:pStyle w:val="style29"/>
        <w:numPr>
          <w:ilvl w:val="0"/>
          <w:numId w:val="1"/>
        </w:numPr>
        <w:jc w:val="center"/>
      </w:pPr>
      <w:r>
        <w:rPr>
          <w:b/>
          <w:bCs/>
          <w:sz w:val="28"/>
          <w:szCs w:val="28"/>
        </w:rPr>
        <w:t>Ответственность за разглашение информации, связанной</w:t>
      </w:r>
    </w:p>
    <w:p>
      <w:pPr>
        <w:pStyle w:val="style29"/>
        <w:jc w:val="center"/>
      </w:pPr>
      <w:r>
        <w:rPr>
          <w:b/>
          <w:bCs/>
          <w:sz w:val="28"/>
          <w:szCs w:val="28"/>
        </w:rPr>
        <w:t>с персональными данными работника</w:t>
      </w:r>
    </w:p>
    <w:p>
      <w:pPr>
        <w:pStyle w:val="style29"/>
        <w:jc w:val="both"/>
      </w:pPr>
      <w:r>
        <w:rPr/>
      </w:r>
    </w:p>
    <w:p>
      <w:pPr>
        <w:pStyle w:val="style40"/>
        <w:numPr>
          <w:ilvl w:val="1"/>
          <w:numId w:val="1"/>
        </w:numPr>
        <w:ind w:firstLine="709" w:left="0" w:right="0"/>
        <w:jc w:val="both"/>
      </w:pPr>
      <w:r>
        <w:rPr/>
        <w:t>Лица, виновные в нарушении норм, регулирующих обработку и защиту персональных данных работника, несут дисциплинарную, административную, гражданско-правовую или уголовную ответственность в соответствии</w:t>
        <w:br/>
      </w:r>
      <w:bookmarkStart w:id="2" w:name="_GoBack"/>
      <w:bookmarkEnd w:id="2"/>
      <w:r>
        <w:rPr/>
        <w:t>с действующим законодательством Российской Федерации.</w:t>
      </w:r>
    </w:p>
    <w:p>
      <w:pPr>
        <w:pStyle w:val="style29"/>
        <w:ind w:firstLine="540" w:left="0" w:right="0"/>
        <w:jc w:val="both"/>
      </w:pPr>
      <w:r>
        <w:rPr/>
      </w:r>
    </w:p>
    <w:sectPr>
      <w:type w:val="nextPage"/>
      <w:pgSz w:h="16838" w:w="11906"/>
      <w:pgMar w:bottom="1440" w:footer="0" w:gutter="0" w:header="0" w:left="1133" w:right="566" w:top="1440"/>
      <w:pgNumType w:fmt="decimal"/>
      <w:formProt w:val="false"/>
      <w:textDirection w:val="lrTb"/>
      <w:docGrid w:charSpace="-2049" w:linePitch="24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ind w:hanging="360" w:left="720"/>
      </w:pPr>
      <w:rPr>
        <w:b/>
        <w:bCs/>
      </w:rPr>
    </w:lvl>
    <w:lvl w:ilvl="1">
      <w:start w:val="1"/>
      <w:numFmt w:val="decimal"/>
      <w:lvlText w:val="%1.%2."/>
      <w:lvlJc w:val="left"/>
      <w:pPr>
        <w:ind w:hanging="720" w:left="1288"/>
      </w:pPr>
      <w:rPr>
        <w:color w:val="212529"/>
        <w:b w:val="false"/>
        <w:bCs w:val="false"/>
      </w:rPr>
    </w:lvl>
    <w:lvl w:ilvl="2">
      <w:start w:val="1"/>
      <w:numFmt w:val="decimal"/>
      <w:lvlText w:val="%1.%2.%3."/>
      <w:lvlJc w:val="left"/>
      <w:pPr>
        <w:ind w:hanging="720" w:left="1776"/>
      </w:pPr>
      <w:rPr>
        <w:color w:val="212529"/>
      </w:rPr>
    </w:lvl>
    <w:lvl w:ilvl="3">
      <w:start w:val="1"/>
      <w:numFmt w:val="decimal"/>
      <w:lvlText w:val="%1.%2.%3.%4."/>
      <w:lvlJc w:val="left"/>
      <w:pPr>
        <w:ind w:hanging="1080" w:left="2484"/>
      </w:pPr>
      <w:rPr>
        <w:color w:val="212529"/>
      </w:rPr>
    </w:lvl>
    <w:lvl w:ilvl="4">
      <w:start w:val="1"/>
      <w:numFmt w:val="decimal"/>
      <w:lvlText w:val="%1.%2.%3.%4.%5."/>
      <w:lvlJc w:val="left"/>
      <w:pPr>
        <w:ind w:hanging="1080" w:left="2832"/>
      </w:pPr>
      <w:rPr>
        <w:color w:val="212529"/>
      </w:rPr>
    </w:lvl>
    <w:lvl w:ilvl="5">
      <w:start w:val="1"/>
      <w:numFmt w:val="decimal"/>
      <w:lvlText w:val="%1.%2.%3.%4.%5.%6."/>
      <w:lvlJc w:val="left"/>
      <w:pPr>
        <w:ind w:hanging="1440" w:left="3540"/>
      </w:pPr>
      <w:rPr>
        <w:color w:val="212529"/>
      </w:rPr>
    </w:lvl>
    <w:lvl w:ilvl="6">
      <w:start w:val="1"/>
      <w:numFmt w:val="decimal"/>
      <w:lvlText w:val="%1.%2.%3.%4.%5.%6.%7."/>
      <w:lvlJc w:val="left"/>
      <w:pPr>
        <w:ind w:hanging="1800" w:left="4248"/>
      </w:pPr>
      <w:rPr>
        <w:color w:val="212529"/>
      </w:rPr>
    </w:lvl>
    <w:lvl w:ilvl="7">
      <w:start w:val="1"/>
      <w:numFmt w:val="decimal"/>
      <w:lvlText w:val="%1.%2.%3.%4.%5.%6.%7.%8."/>
      <w:lvlJc w:val="left"/>
      <w:pPr>
        <w:ind w:hanging="1800" w:left="4596"/>
      </w:pPr>
      <w:rPr>
        <w:color w:val="212529"/>
      </w:rPr>
    </w:lvl>
    <w:lvl w:ilvl="8">
      <w:start w:val="1"/>
      <w:numFmt w:val="decimal"/>
      <w:lvlText w:val="%1.%2.%3.%4.%5.%6.%7.%8.%9."/>
      <w:lvlJc w:val="left"/>
      <w:pPr>
        <w:ind w:hanging="2160" w:left="5304"/>
      </w:pPr>
      <w:rPr>
        <w:color w:val="212529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</w:numbering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>
        <w:tab w:leader="none" w:pos="720" w:val="left"/>
      </w:tabs>
      <w:suppressAutoHyphens w:val="true"/>
      <w:spacing w:after="200" w:before="0" w:line="276" w:lineRule="auto"/>
    </w:pPr>
    <w:rPr>
      <w:rFonts w:ascii="Calibri" w:cs="" w:eastAsia="SimSun" w:hAnsi="Calibri"/>
      <w:color w:val="auto"/>
      <w:sz w:val="22"/>
      <w:szCs w:val="22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character">
    <w:name w:val="Верхний колонтитул Знак"/>
    <w:basedOn w:val="style15"/>
    <w:next w:val="style16"/>
    <w:rPr/>
  </w:style>
  <w:style w:styleId="style17" w:type="character">
    <w:name w:val="Нижний колонтитул Знак"/>
    <w:basedOn w:val="style15"/>
    <w:next w:val="style17"/>
    <w:rPr/>
  </w:style>
  <w:style w:styleId="style18" w:type="character">
    <w:name w:val="print_html"/>
    <w:basedOn w:val="style15"/>
    <w:next w:val="style18"/>
    <w:rPr/>
  </w:style>
  <w:style w:styleId="style19" w:type="character">
    <w:name w:val="ListLabel 1"/>
    <w:next w:val="style19"/>
    <w:rPr>
      <w:b/>
      <w:bCs/>
    </w:rPr>
  </w:style>
  <w:style w:styleId="style20" w:type="character">
    <w:name w:val="ListLabel 2"/>
    <w:next w:val="style20"/>
    <w:rPr>
      <w:rFonts w:cs="Times New Roman" w:eastAsia="Times New Roman"/>
      <w:b w:val="false"/>
      <w:bCs w:val="false"/>
      <w:color w:val="212529"/>
    </w:rPr>
  </w:style>
  <w:style w:styleId="style21" w:type="character">
    <w:name w:val="ListLabel 3"/>
    <w:next w:val="style21"/>
    <w:rPr>
      <w:rFonts w:cs="Times New Roman" w:eastAsia="Times New Roman"/>
      <w:color w:val="212529"/>
    </w:rPr>
  </w:style>
  <w:style w:styleId="style22" w:type="character">
    <w:name w:val="ListLabel 4"/>
    <w:next w:val="style22"/>
    <w:rPr>
      <w:sz w:val="20"/>
    </w:rPr>
  </w:style>
  <w:style w:styleId="style23" w:type="character">
    <w:name w:val="Интернет-ссылка"/>
    <w:next w:val="style23"/>
    <w:rPr>
      <w:color w:val="000080"/>
      <w:u w:val="single"/>
      <w:lang w:bidi="ru-RU" w:eastAsia="ru-RU" w:val="ru-RU"/>
    </w:rPr>
  </w:style>
  <w:style w:styleId="style24" w:type="paragraph">
    <w:name w:val="Заголовок"/>
    <w:basedOn w:val="style0"/>
    <w:next w:val="style25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25" w:type="paragraph">
    <w:name w:val="Основной текст"/>
    <w:basedOn w:val="style0"/>
    <w:next w:val="style25"/>
    <w:pPr>
      <w:spacing w:after="120" w:before="0"/>
    </w:pPr>
    <w:rPr/>
  </w:style>
  <w:style w:styleId="style26" w:type="paragraph">
    <w:name w:val="Список"/>
    <w:basedOn w:val="style25"/>
    <w:next w:val="style26"/>
    <w:pPr/>
    <w:rPr>
      <w:rFonts w:cs="Mangal"/>
    </w:rPr>
  </w:style>
  <w:style w:styleId="style27" w:type="paragraph">
    <w:name w:val="Название"/>
    <w:basedOn w:val="style0"/>
    <w:next w:val="style27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28" w:type="paragraph">
    <w:name w:val="Указатель"/>
    <w:basedOn w:val="style0"/>
    <w:next w:val="style28"/>
    <w:pPr>
      <w:suppressLineNumbers/>
    </w:pPr>
    <w:rPr>
      <w:rFonts w:cs="Mangal"/>
    </w:rPr>
  </w:style>
  <w:style w:styleId="style29" w:type="paragraph">
    <w:name w:val="ConsPlusNormal"/>
    <w:next w:val="style29"/>
    <w:pPr>
      <w:widowControl w:val="false"/>
      <w:tabs>
        <w:tab w:leader="none" w:pos="720" w:val="left"/>
      </w:tabs>
      <w:suppressAutoHyphens w:val="true"/>
      <w:spacing w:after="0" w:before="0" w:line="100" w:lineRule="atLeast"/>
    </w:pPr>
    <w:rPr>
      <w:rFonts w:ascii="Times New Roman" w:cs="Times New Roman" w:eastAsia="SimSun" w:hAnsi="Times New Roman"/>
      <w:color w:val="auto"/>
      <w:sz w:val="24"/>
      <w:szCs w:val="24"/>
      <w:lang w:bidi="ar-SA" w:eastAsia="ru-RU" w:val="ru-RU"/>
    </w:rPr>
  </w:style>
  <w:style w:styleId="style30" w:type="paragraph">
    <w:name w:val="ConsPlusNonformat"/>
    <w:next w:val="style30"/>
    <w:pPr>
      <w:widowControl w:val="false"/>
      <w:tabs>
        <w:tab w:leader="none" w:pos="720" w:val="left"/>
      </w:tabs>
      <w:suppressAutoHyphens w:val="true"/>
      <w:spacing w:after="0" w:before="0" w:line="100" w:lineRule="atLeast"/>
    </w:pPr>
    <w:rPr>
      <w:rFonts w:ascii="Courier New" w:cs="Courier New" w:eastAsia="SimSun" w:hAnsi="Courier New"/>
      <w:color w:val="auto"/>
      <w:sz w:val="20"/>
      <w:szCs w:val="20"/>
      <w:lang w:bidi="ar-SA" w:eastAsia="ru-RU" w:val="ru-RU"/>
    </w:rPr>
  </w:style>
  <w:style w:styleId="style31" w:type="paragraph">
    <w:name w:val="ConsPlusTitle"/>
    <w:next w:val="style31"/>
    <w:pPr>
      <w:widowControl w:val="false"/>
      <w:tabs>
        <w:tab w:leader="none" w:pos="720" w:val="left"/>
      </w:tabs>
      <w:suppressAutoHyphens w:val="true"/>
      <w:spacing w:after="0" w:before="0" w:line="100" w:lineRule="atLeast"/>
    </w:pPr>
    <w:rPr>
      <w:rFonts w:ascii="Arial" w:cs="Arial" w:eastAsia="SimSun" w:hAnsi="Arial"/>
      <w:b/>
      <w:bCs/>
      <w:color w:val="auto"/>
      <w:sz w:val="24"/>
      <w:szCs w:val="24"/>
      <w:lang w:bidi="ar-SA" w:eastAsia="ru-RU" w:val="ru-RU"/>
    </w:rPr>
  </w:style>
  <w:style w:styleId="style32" w:type="paragraph">
    <w:name w:val="ConsPlusCell"/>
    <w:next w:val="style32"/>
    <w:pPr>
      <w:widowControl w:val="false"/>
      <w:tabs>
        <w:tab w:leader="none" w:pos="720" w:val="left"/>
      </w:tabs>
      <w:suppressAutoHyphens w:val="true"/>
      <w:spacing w:after="0" w:before="0" w:line="100" w:lineRule="atLeast"/>
    </w:pPr>
    <w:rPr>
      <w:rFonts w:ascii="Courier New" w:cs="Courier New" w:eastAsia="SimSun" w:hAnsi="Courier New"/>
      <w:color w:val="auto"/>
      <w:sz w:val="20"/>
      <w:szCs w:val="20"/>
      <w:lang w:bidi="ar-SA" w:eastAsia="ru-RU" w:val="ru-RU"/>
    </w:rPr>
  </w:style>
  <w:style w:styleId="style33" w:type="paragraph">
    <w:name w:val="ConsPlusDocList"/>
    <w:next w:val="style33"/>
    <w:pPr>
      <w:widowControl w:val="false"/>
      <w:tabs>
        <w:tab w:leader="none" w:pos="720" w:val="left"/>
      </w:tabs>
      <w:suppressAutoHyphens w:val="true"/>
      <w:spacing w:after="0" w:before="0" w:line="100" w:lineRule="atLeast"/>
    </w:pPr>
    <w:rPr>
      <w:rFonts w:ascii="Tahoma" w:cs="Tahoma" w:eastAsia="SimSun" w:hAnsi="Tahoma"/>
      <w:color w:val="auto"/>
      <w:sz w:val="18"/>
      <w:szCs w:val="18"/>
      <w:lang w:bidi="ar-SA" w:eastAsia="ru-RU" w:val="ru-RU"/>
    </w:rPr>
  </w:style>
  <w:style w:styleId="style34" w:type="paragraph">
    <w:name w:val="ConsPlusTitlePage"/>
    <w:next w:val="style34"/>
    <w:pPr>
      <w:widowControl w:val="false"/>
      <w:tabs>
        <w:tab w:leader="none" w:pos="720" w:val="left"/>
      </w:tabs>
      <w:suppressAutoHyphens w:val="true"/>
      <w:spacing w:after="0" w:before="0" w:line="100" w:lineRule="atLeast"/>
    </w:pPr>
    <w:rPr>
      <w:rFonts w:ascii="Tahoma" w:cs="Tahoma" w:eastAsia="SimSun" w:hAnsi="Tahoma"/>
      <w:color w:val="auto"/>
      <w:sz w:val="24"/>
      <w:szCs w:val="24"/>
      <w:lang w:bidi="ar-SA" w:eastAsia="ru-RU" w:val="ru-RU"/>
    </w:rPr>
  </w:style>
  <w:style w:styleId="style35" w:type="paragraph">
    <w:name w:val="ConsPlusJurTerm"/>
    <w:next w:val="style35"/>
    <w:pPr>
      <w:widowControl w:val="false"/>
      <w:tabs>
        <w:tab w:leader="none" w:pos="720" w:val="left"/>
      </w:tabs>
      <w:suppressAutoHyphens w:val="true"/>
      <w:spacing w:after="0" w:before="0" w:line="100" w:lineRule="atLeast"/>
    </w:pPr>
    <w:rPr>
      <w:rFonts w:ascii="Times New Roman" w:cs="Times New Roman" w:eastAsia="SimSun" w:hAnsi="Times New Roman"/>
      <w:color w:val="auto"/>
      <w:sz w:val="24"/>
      <w:szCs w:val="24"/>
      <w:lang w:bidi="ar-SA" w:eastAsia="ru-RU" w:val="ru-RU"/>
    </w:rPr>
  </w:style>
  <w:style w:styleId="style36" w:type="paragraph">
    <w:name w:val="ConsPlusTextList"/>
    <w:next w:val="style36"/>
    <w:pPr>
      <w:widowControl w:val="false"/>
      <w:tabs>
        <w:tab w:leader="none" w:pos="720" w:val="left"/>
      </w:tabs>
      <w:suppressAutoHyphens w:val="true"/>
      <w:spacing w:after="0" w:before="0" w:line="100" w:lineRule="atLeast"/>
    </w:pPr>
    <w:rPr>
      <w:rFonts w:ascii="Times New Roman" w:cs="Times New Roman" w:eastAsia="SimSun" w:hAnsi="Times New Roman"/>
      <w:color w:val="auto"/>
      <w:sz w:val="24"/>
      <w:szCs w:val="24"/>
      <w:lang w:bidi="ar-SA" w:eastAsia="ru-RU" w:val="ru-RU"/>
    </w:rPr>
  </w:style>
  <w:style w:styleId="style37" w:type="paragraph">
    <w:name w:val="ConsPlusTextList1"/>
    <w:next w:val="style37"/>
    <w:pPr>
      <w:widowControl w:val="false"/>
      <w:tabs>
        <w:tab w:leader="none" w:pos="720" w:val="left"/>
      </w:tabs>
      <w:suppressAutoHyphens w:val="true"/>
      <w:spacing w:after="0" w:before="0" w:line="100" w:lineRule="atLeast"/>
    </w:pPr>
    <w:rPr>
      <w:rFonts w:ascii="Times New Roman" w:cs="Times New Roman" w:eastAsia="SimSun" w:hAnsi="Times New Roman"/>
      <w:color w:val="auto"/>
      <w:sz w:val="24"/>
      <w:szCs w:val="24"/>
      <w:lang w:bidi="ar-SA" w:eastAsia="ru-RU" w:val="ru-RU"/>
    </w:rPr>
  </w:style>
  <w:style w:styleId="style38" w:type="paragraph">
    <w:name w:val="Верхний колонтитул"/>
    <w:basedOn w:val="style0"/>
    <w:next w:val="style38"/>
    <w:pPr>
      <w:suppressLineNumbers/>
      <w:tabs>
        <w:tab w:leader="none" w:pos="4677" w:val="center"/>
        <w:tab w:leader="none" w:pos="9355" w:val="right"/>
      </w:tabs>
      <w:spacing w:after="0" w:before="0" w:line="100" w:lineRule="atLeast"/>
    </w:pPr>
    <w:rPr/>
  </w:style>
  <w:style w:styleId="style39" w:type="paragraph">
    <w:name w:val="Нижний колонтитул"/>
    <w:basedOn w:val="style0"/>
    <w:next w:val="style39"/>
    <w:pPr>
      <w:suppressLineNumbers/>
      <w:tabs>
        <w:tab w:leader="none" w:pos="4677" w:val="center"/>
        <w:tab w:leader="none" w:pos="9355" w:val="right"/>
      </w:tabs>
      <w:spacing w:after="0" w:before="0" w:line="100" w:lineRule="atLeast"/>
    </w:pPr>
    <w:rPr/>
  </w:style>
  <w:style w:styleId="style40" w:type="paragraph">
    <w:name w:val="No Spacing"/>
    <w:next w:val="style40"/>
    <w:pPr>
      <w:widowControl/>
      <w:tabs>
        <w:tab w:leader="none" w:pos="708" w:val="left"/>
      </w:tabs>
      <w:suppressAutoHyphens w:val="true"/>
      <w:spacing w:after="0" w:before="0" w:line="100" w:lineRule="atLeast"/>
    </w:pPr>
    <w:rPr>
      <w:rFonts w:ascii="Times New Roman" w:cs="" w:eastAsia="SimSun" w:hAnsi="Times New Roman"/>
      <w:color w:val="auto"/>
      <w:sz w:val="28"/>
      <w:szCs w:val="22"/>
      <w:lang w:bidi="ar-SA" w:eastAsia="en-US" w:val="ru-RU"/>
    </w:rPr>
  </w:style>
  <w:style w:styleId="style41" w:type="paragraph">
    <w:name w:val="Normal (Web)"/>
    <w:basedOn w:val="style0"/>
    <w:next w:val="style41"/>
    <w:pPr>
      <w:spacing w:after="28" w:before="28" w:line="100" w:lineRule="atLeast"/>
    </w:pPr>
    <w:rPr>
      <w:rFonts w:ascii="Times New Roman" w:cs="Times New Roman" w:eastAsia="Times New Roman" w:hAnsi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.jpeg"/><Relationship Id="rId3" Type="http://schemas.openxmlformats.org/officeDocument/2006/relationships/hyperlink" Target="https://archives.gov.ru/documents/prik24_2020.shtml" TargetMode="External"/><Relationship Id="rId4" Type="http://schemas.openxmlformats.org/officeDocument/2006/relationships/hyperlink" Target="https://archives.gov.ru/documents/prik24_2020.shtml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Application>LibreOffice/3.4$Win32 LibreOffice_project/340m1$Build-502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2022-08-31T11:35:00.00Z</dcterms:created>
  <dc:creator>Alena</dc:creator>
  <cp:lastModifiedBy>User</cp:lastModifiedBy>
  <cp:lastPrinted>2022-10-14T07:55:00.00Z</cp:lastPrinted>
  <dcterms:modified xsi:type="dcterms:W3CDTF">2022-10-14T07:56:00.00Z</dcterms:modified>
  <cp:revision>4</cp:revision>
  <dc:title>Форма: Положение об обработке и защите персональных данных работников(Подготовлен для системы КонсультантПлюс, 2022)</dc:title>
</cp:coreProperties>
</file>